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8C" w:rsidRDefault="000C248C" w:rsidP="000C248C">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0C248C" w:rsidRDefault="000C248C" w:rsidP="000C248C">
      <w:pPr>
        <w:rPr>
          <w:rFonts w:ascii="Times New Roman" w:hAnsi="Times New Roman"/>
          <w:color w:val="1F497D"/>
          <w:sz w:val="24"/>
          <w:szCs w:val="24"/>
        </w:rPr>
      </w:pPr>
    </w:p>
    <w:p w:rsidR="007C1098" w:rsidRDefault="007C1098"/>
    <w:p w:rsidR="007F04C4" w:rsidRPr="0086590F" w:rsidRDefault="007F04C4" w:rsidP="00211968">
      <w:pPr>
        <w:pStyle w:val="ListParagraph"/>
        <w:numPr>
          <w:ilvl w:val="0"/>
          <w:numId w:val="7"/>
        </w:numPr>
        <w:spacing w:after="240"/>
        <w:jc w:val="both"/>
        <w:rPr>
          <w:rFonts w:ascii="Times New Roman" w:hAnsi="Times New Roman"/>
        </w:rPr>
      </w:pPr>
      <w:r>
        <w:t>Esam iep</w:t>
      </w:r>
      <w:r w:rsidR="00211968">
        <w:t>a</w:t>
      </w:r>
      <w:r>
        <w:t>zinušies ar "Atbalsts jaunu produktu un tehnoloģiju izstrādei kompetences centru ietvaros” otrās atlases kārtas nolikumu un saistītajiem dokumentiem, un ir radies jautājums - vai tā tiešām ir, ka nav vienota forma atsevišķu pētījumu projektu pieteikumiem? Pēc pieejamās dokumentācijas var saprast, ka KC padomei pašai ir jāizstrādā šī pieteikuma veidlapa, vadoties no MK noteikumu prasībām un vadlīnijām. Iepriekšējā programmas periodā šī veidlapa bija jau integrēta projekta pieteikumā (8. nodaļa), tādējādi nodrošinot vienotu informācijas pieprasīšanas un iesniegšanas kārtību.</w:t>
      </w:r>
    </w:p>
    <w:p w:rsidR="007F04C4" w:rsidRDefault="007F04C4" w:rsidP="00211968">
      <w:pPr>
        <w:jc w:val="both"/>
      </w:pPr>
      <w:r>
        <w:rPr>
          <w:rFonts w:asciiTheme="minorHAnsi" w:hAnsiTheme="minorHAnsi"/>
        </w:rPr>
        <w:t xml:space="preserve">Atbilde: </w:t>
      </w:r>
      <w:r>
        <w:t>ES fondu 2014.-2020.plānošanas periodā visiem projektu iesniegumiem ir noteikta vienota veidlapa (pielikums 16.12.2014. MK noteikumiem Nr.784), kura tiek pielāgota katram specifiskā atbalsta mērķa pasākumam (jaunas sadaļas nav paredzēts pievienot, tikai izņemt liekās), tādējādi projekta iesnieguma veidlapā nav integrēta pētījumu projektu pieteikuma veidlapa.</w:t>
      </w:r>
    </w:p>
    <w:p w:rsidR="007F04C4" w:rsidRDefault="007F04C4" w:rsidP="00211968">
      <w:pPr>
        <w:jc w:val="both"/>
        <w:rPr>
          <w:b/>
          <w:bCs/>
          <w:lang w:eastAsia="lv-LV"/>
        </w:rPr>
      </w:pPr>
      <w:r>
        <w:t>Aicinām iepazīties ar projekta iesnieguma veidlapas pielikumu “</w:t>
      </w:r>
      <w:r>
        <w:rPr>
          <w:b/>
          <w:bCs/>
        </w:rPr>
        <w:t xml:space="preserve">Kompetences centra pētniecības projektu apraksta </w:t>
      </w:r>
      <w:proofErr w:type="spellStart"/>
      <w:r>
        <w:rPr>
          <w:b/>
          <w:bCs/>
        </w:rPr>
        <w:t>standartforma</w:t>
      </w:r>
      <w:proofErr w:type="spellEnd"/>
      <w:r>
        <w:rPr>
          <w:b/>
          <w:bCs/>
        </w:rPr>
        <w:t>”</w:t>
      </w:r>
      <w:r>
        <w:t>, kurā ietverta detalizēta informācija, kas jānorāda par katru pētniecības projekta pieteikumu. Pašu pieteikuma veidlapu, ko izskatīšanai un vērtēšanai kompetences centram iesniegs pētījumu īstenotāji (projekta sadarbības partneri), izstrādā kompetences centrs.</w:t>
      </w:r>
    </w:p>
    <w:p w:rsidR="007F04C4" w:rsidRDefault="007F04C4" w:rsidP="007F04C4"/>
    <w:p w:rsidR="00211968" w:rsidRPr="00C04EC1" w:rsidRDefault="00211968" w:rsidP="00211968">
      <w:pPr>
        <w:pStyle w:val="ListParagraph"/>
        <w:ind w:left="1440"/>
        <w:rPr>
          <w:rFonts w:ascii="Times New Roman" w:hAnsi="Times New Roman"/>
          <w:b/>
          <w:sz w:val="24"/>
          <w:szCs w:val="24"/>
          <w:u w:val="single"/>
        </w:rPr>
      </w:pPr>
      <w:r w:rsidRPr="00AC1E14">
        <w:rPr>
          <w:rFonts w:asciiTheme="minorHAnsi" w:hAnsiTheme="minorHAnsi"/>
          <w:b/>
          <w:u w:val="single"/>
        </w:rPr>
        <w:t>Projektu</w:t>
      </w:r>
      <w:r w:rsidRPr="00C04EC1">
        <w:rPr>
          <w:rFonts w:ascii="Times New Roman" w:hAnsi="Times New Roman"/>
          <w:b/>
          <w:sz w:val="24"/>
          <w:szCs w:val="24"/>
          <w:u w:val="single"/>
        </w:rPr>
        <w:t xml:space="preserve"> īstenošanas (izmaksu </w:t>
      </w:r>
      <w:proofErr w:type="spellStart"/>
      <w:r w:rsidRPr="00C04EC1">
        <w:rPr>
          <w:rFonts w:ascii="Times New Roman" w:hAnsi="Times New Roman"/>
          <w:b/>
          <w:sz w:val="24"/>
          <w:szCs w:val="24"/>
          <w:u w:val="single"/>
        </w:rPr>
        <w:t>attiecināmības</w:t>
      </w:r>
      <w:proofErr w:type="spellEnd"/>
      <w:r w:rsidRPr="00C04EC1">
        <w:rPr>
          <w:rFonts w:ascii="Times New Roman" w:hAnsi="Times New Roman"/>
          <w:b/>
          <w:sz w:val="24"/>
          <w:szCs w:val="24"/>
          <w:u w:val="single"/>
        </w:rPr>
        <w:t>) jautājumi</w:t>
      </w:r>
    </w:p>
    <w:p w:rsidR="00AE7BF2" w:rsidRPr="002C00D8" w:rsidRDefault="00AE7BF2" w:rsidP="00AE7BF2">
      <w:pPr>
        <w:rPr>
          <w:rFonts w:asciiTheme="minorHAnsi" w:hAnsiTheme="minorHAnsi"/>
        </w:rPr>
      </w:pPr>
    </w:p>
    <w:p w:rsidR="00BA5BA1" w:rsidRDefault="00BA5BA1"/>
    <w:p w:rsidR="00BA5BA1" w:rsidRDefault="00BA5BA1" w:rsidP="00211968">
      <w:pPr>
        <w:pStyle w:val="ListParagraph"/>
        <w:numPr>
          <w:ilvl w:val="0"/>
          <w:numId w:val="7"/>
        </w:numPr>
        <w:spacing w:after="240"/>
        <w:jc w:val="both"/>
      </w:pPr>
      <w:r>
        <w:t>Ja ir situācija, kur ir komersants-individuālā pētījuma īstenotājs (kas nav KC dalībnieks) un PZIO, kas ir KC dalībnieks ar mazu daļu skaitu (zem 5%) - vai arī šajā situācijā tiek uzskatīts, ka pētījuma īstenotājam ir interešu konflikts ar konkrēto PZIO un tam nav tiesību piedalīties iepirkumā par pakalpojumu sniegšanu?</w:t>
      </w:r>
    </w:p>
    <w:p w:rsidR="00350188" w:rsidRPr="00211968" w:rsidRDefault="00350188" w:rsidP="00211968">
      <w:pPr>
        <w:spacing w:after="240"/>
        <w:jc w:val="both"/>
        <w:rPr>
          <w:rFonts w:asciiTheme="minorHAnsi" w:hAnsiTheme="minorHAnsi"/>
        </w:rPr>
      </w:pPr>
      <w:r w:rsidRPr="00211968">
        <w:rPr>
          <w:rFonts w:asciiTheme="minorHAnsi" w:hAnsiTheme="minorHAnsi"/>
        </w:rPr>
        <w:t xml:space="preserve">Atbilde: Nē, neatrodas. MK noteikumu Nr.299 izpratnē finansējuma saņēmējs un piegādātājs atrodas interešu konfliktā 13.punktā un 14.punktā noteiktajos gadījumos. Savukārt Publiskā iepirkuma likuma subjektu gadījumā, iepirkumu komisijas locekļi un eksperti nedrīkst pārstāvēt pretendenta intereses saskaņā ar PIL 23.pantu.   </w:t>
      </w:r>
    </w:p>
    <w:p w:rsidR="00BA5BA1" w:rsidRDefault="00BA5BA1" w:rsidP="00211968">
      <w:pPr>
        <w:pStyle w:val="ListParagraph"/>
        <w:numPr>
          <w:ilvl w:val="0"/>
          <w:numId w:val="7"/>
        </w:numPr>
        <w:spacing w:after="240"/>
        <w:jc w:val="both"/>
      </w:pPr>
      <w:r>
        <w:t xml:space="preserve">Vai </w:t>
      </w:r>
      <w:proofErr w:type="spellStart"/>
      <w:r>
        <w:t>spin-off</w:t>
      </w:r>
      <w:proofErr w:type="spellEnd"/>
      <w:r>
        <w:t xml:space="preserve"> uzņēmumi, kas tiek izveidoti pēc sadarbības pētījuma pabeigšanas, ir pieļaujami un vai tie arī tiek uzskatīti par rezultatīvo rādītāju?</w:t>
      </w:r>
    </w:p>
    <w:p w:rsidR="00350188" w:rsidRDefault="00350188" w:rsidP="00211968">
      <w:pPr>
        <w:pStyle w:val="ListParagraph"/>
        <w:spacing w:after="240"/>
        <w:jc w:val="both"/>
      </w:pPr>
      <w:r>
        <w:t xml:space="preserve">Atbilde: Jā, ir pieļaujama </w:t>
      </w:r>
      <w:proofErr w:type="spellStart"/>
      <w:r>
        <w:t>spin-off</w:t>
      </w:r>
      <w:proofErr w:type="spellEnd"/>
      <w:r>
        <w:t xml:space="preserve"> uzņēmumu izveidošana pēc sadarbības pētījuma pabeigšanas, tomēr tie netiek uzskatīti par iznākuma rādītāju MK noteikumu Nr.2 izpratnē. </w:t>
      </w:r>
    </w:p>
    <w:p w:rsidR="00350188" w:rsidRDefault="00350188" w:rsidP="00211968">
      <w:pPr>
        <w:pStyle w:val="ListParagraph"/>
        <w:spacing w:after="240"/>
        <w:jc w:val="both"/>
      </w:pPr>
      <w:r>
        <w:t>Saskaņā ar MK noteikumu Nr.2 6.1.apakšpunktu iznākuma rādītāji ir:</w:t>
      </w:r>
    </w:p>
    <w:p w:rsidR="00350188" w:rsidRDefault="00350188" w:rsidP="00211968">
      <w:pPr>
        <w:pStyle w:val="ListParagraph"/>
        <w:numPr>
          <w:ilvl w:val="0"/>
          <w:numId w:val="9"/>
        </w:numPr>
        <w:spacing w:after="240"/>
        <w:jc w:val="both"/>
      </w:pPr>
      <w:r>
        <w:t>Komersantu skaits, kas saņēmuši atbalstu;</w:t>
      </w:r>
    </w:p>
    <w:p w:rsidR="00350188" w:rsidRDefault="00350188" w:rsidP="00211968">
      <w:pPr>
        <w:pStyle w:val="ListParagraph"/>
        <w:numPr>
          <w:ilvl w:val="0"/>
          <w:numId w:val="9"/>
        </w:numPr>
        <w:spacing w:after="240"/>
        <w:jc w:val="both"/>
      </w:pPr>
      <w:r>
        <w:t xml:space="preserve">Atbalstīto komersantu skaits, kas saņem </w:t>
      </w:r>
      <w:proofErr w:type="spellStart"/>
      <w:r>
        <w:t>grantu</w:t>
      </w:r>
      <w:proofErr w:type="spellEnd"/>
      <w:r>
        <w:t>;</w:t>
      </w:r>
    </w:p>
    <w:p w:rsidR="00350188" w:rsidRDefault="00350188" w:rsidP="00211968">
      <w:pPr>
        <w:pStyle w:val="ListParagraph"/>
        <w:numPr>
          <w:ilvl w:val="0"/>
          <w:numId w:val="9"/>
        </w:numPr>
        <w:spacing w:after="240"/>
        <w:jc w:val="both"/>
      </w:pPr>
      <w:r>
        <w:t>Komersantu skaits, kuri saņem atbalstu, lai laistu tirgū jaunus produktus.</w:t>
      </w:r>
    </w:p>
    <w:p w:rsidR="00350188" w:rsidRDefault="00350188" w:rsidP="00211968">
      <w:pPr>
        <w:pStyle w:val="ListParagraph"/>
        <w:spacing w:after="240"/>
        <w:ind w:left="1440"/>
        <w:jc w:val="both"/>
      </w:pPr>
    </w:p>
    <w:p w:rsidR="00BA5BA1" w:rsidRDefault="00BA5BA1" w:rsidP="00211968">
      <w:pPr>
        <w:pStyle w:val="ListParagraph"/>
        <w:numPr>
          <w:ilvl w:val="0"/>
          <w:numId w:val="7"/>
        </w:numPr>
        <w:spacing w:after="240"/>
        <w:jc w:val="both"/>
      </w:pPr>
      <w:r>
        <w:t>Vai mēs pareizi saprotam,</w:t>
      </w:r>
      <w:bookmarkStart w:id="0" w:name="_GoBack"/>
      <w:bookmarkEnd w:id="0"/>
      <w:r>
        <w:t xml:space="preserve"> ka attiec</w:t>
      </w:r>
      <w:r w:rsidR="00350188">
        <w:t>i</w:t>
      </w:r>
      <w:r>
        <w:t>nāmajās izmaksās var tikt iekļautas tikai tās apdrošināšanas izmaksas, kas ir obligāti noteiktas LR normatīvajos aktos (piemēram, darbības specifikas dēļ)?</w:t>
      </w:r>
    </w:p>
    <w:p w:rsidR="006407C1" w:rsidRDefault="006407C1" w:rsidP="00211968">
      <w:pPr>
        <w:pStyle w:val="ListParagraph"/>
        <w:spacing w:after="240"/>
        <w:jc w:val="both"/>
      </w:pPr>
    </w:p>
    <w:p w:rsidR="00350188" w:rsidRPr="00211968" w:rsidRDefault="00350188" w:rsidP="00211968">
      <w:pPr>
        <w:pStyle w:val="ListParagraph"/>
        <w:spacing w:after="240"/>
        <w:jc w:val="both"/>
      </w:pPr>
      <w:r>
        <w:t xml:space="preserve">Atbilde: </w:t>
      </w:r>
      <w:r w:rsidR="006407C1" w:rsidRPr="00211968">
        <w:t xml:space="preserve">MK noteikumu Nr.2 30.1.1.7.un 30.1.4.3.apakšpunkts nosaka, ka attiecināmās ir “apdrošināšanas (veselības, dzīvības, transportlīdzekļu, īpašuma, </w:t>
      </w:r>
      <w:r w:rsidR="006407C1" w:rsidRPr="00211968">
        <w:lastRenderedPageBreak/>
        <w:t>iekārtu, civiltiesiskās atbildības u.c.) izmaksas  uz pētniecības projekta īstenošanas laiku, kuru nepieciešamību nosaka Latvijas Republikas normatīvie akti. (..)”.</w:t>
      </w:r>
    </w:p>
    <w:p w:rsidR="00BA5BA1" w:rsidRPr="002C00D8" w:rsidRDefault="00BA5BA1"/>
    <w:sectPr w:rsidR="00BA5BA1" w:rsidRPr="002C00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B20"/>
    <w:multiLevelType w:val="hybridMultilevel"/>
    <w:tmpl w:val="D42064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434157"/>
    <w:multiLevelType w:val="hybridMultilevel"/>
    <w:tmpl w:val="B262D1E8"/>
    <w:lvl w:ilvl="0" w:tplc="04260019">
      <w:start w:val="1"/>
      <w:numFmt w:val="lowerLetter"/>
      <w:lvlText w:val="%1."/>
      <w:lvlJc w:val="left"/>
      <w:pPr>
        <w:ind w:left="360" w:hanging="360"/>
      </w:pPr>
    </w:lvl>
    <w:lvl w:ilvl="1" w:tplc="256C0244">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07B3DA8"/>
    <w:multiLevelType w:val="hybridMultilevel"/>
    <w:tmpl w:val="1BF03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9F97C58"/>
    <w:multiLevelType w:val="hybridMultilevel"/>
    <w:tmpl w:val="34F29460"/>
    <w:lvl w:ilvl="0" w:tplc="04260019">
      <w:start w:val="1"/>
      <w:numFmt w:val="lowerLetter"/>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BBA1719"/>
    <w:multiLevelType w:val="hybridMultilevel"/>
    <w:tmpl w:val="89BA43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76050D5"/>
    <w:multiLevelType w:val="hybridMultilevel"/>
    <w:tmpl w:val="FF24C984"/>
    <w:lvl w:ilvl="0" w:tplc="6300701A">
      <w:start w:val="1"/>
      <w:numFmt w:val="decimal"/>
      <w:lvlText w:val="%1)"/>
      <w:lvlJc w:val="left"/>
      <w:pPr>
        <w:ind w:left="720" w:hanging="360"/>
      </w:pPr>
      <w:rPr>
        <w:rFonts w:ascii="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47693D"/>
    <w:multiLevelType w:val="hybridMultilevel"/>
    <w:tmpl w:val="FF48F70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07161AC"/>
    <w:multiLevelType w:val="hybridMultilevel"/>
    <w:tmpl w:val="4D981B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1370936"/>
    <w:multiLevelType w:val="hybridMultilevel"/>
    <w:tmpl w:val="DB7A57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8C"/>
    <w:rsid w:val="000C248C"/>
    <w:rsid w:val="00204391"/>
    <w:rsid w:val="00211968"/>
    <w:rsid w:val="002267D2"/>
    <w:rsid w:val="00251430"/>
    <w:rsid w:val="00290933"/>
    <w:rsid w:val="002C00D8"/>
    <w:rsid w:val="00350188"/>
    <w:rsid w:val="003F67C8"/>
    <w:rsid w:val="006407C1"/>
    <w:rsid w:val="00680FD8"/>
    <w:rsid w:val="0073318A"/>
    <w:rsid w:val="0074170E"/>
    <w:rsid w:val="007C1098"/>
    <w:rsid w:val="007F04C4"/>
    <w:rsid w:val="0086590F"/>
    <w:rsid w:val="00A95127"/>
    <w:rsid w:val="00AC1E14"/>
    <w:rsid w:val="00AE7BF2"/>
    <w:rsid w:val="00BA5BA1"/>
    <w:rsid w:val="00D272ED"/>
    <w:rsid w:val="00E36554"/>
    <w:rsid w:val="00E744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552DA-8410-4517-8153-830EB624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8C"/>
    <w:pPr>
      <w:ind w:left="720"/>
      <w:contextualSpacing/>
    </w:pPr>
  </w:style>
  <w:style w:type="character" w:styleId="Hyperlink">
    <w:name w:val="Hyperlink"/>
    <w:basedOn w:val="DefaultParagraphFont"/>
    <w:uiPriority w:val="99"/>
    <w:semiHidden/>
    <w:unhideWhenUsed/>
    <w:rsid w:val="00AE7BF2"/>
    <w:rPr>
      <w:color w:val="0563C1"/>
      <w:u w:val="single"/>
    </w:rPr>
  </w:style>
  <w:style w:type="paragraph" w:styleId="NoSpacing">
    <w:name w:val="No Spacing"/>
    <w:uiPriority w:val="1"/>
    <w:qFormat/>
    <w:rsid w:val="00AE7BF2"/>
    <w:pPr>
      <w:spacing w:after="0" w:line="240" w:lineRule="auto"/>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2454">
      <w:bodyDiv w:val="1"/>
      <w:marLeft w:val="0"/>
      <w:marRight w:val="0"/>
      <w:marTop w:val="0"/>
      <w:marBottom w:val="0"/>
      <w:divBdr>
        <w:top w:val="none" w:sz="0" w:space="0" w:color="auto"/>
        <w:left w:val="none" w:sz="0" w:space="0" w:color="auto"/>
        <w:bottom w:val="none" w:sz="0" w:space="0" w:color="auto"/>
        <w:right w:val="none" w:sz="0" w:space="0" w:color="auto"/>
      </w:divBdr>
    </w:div>
    <w:div w:id="62531556">
      <w:bodyDiv w:val="1"/>
      <w:marLeft w:val="0"/>
      <w:marRight w:val="0"/>
      <w:marTop w:val="0"/>
      <w:marBottom w:val="0"/>
      <w:divBdr>
        <w:top w:val="none" w:sz="0" w:space="0" w:color="auto"/>
        <w:left w:val="none" w:sz="0" w:space="0" w:color="auto"/>
        <w:bottom w:val="none" w:sz="0" w:space="0" w:color="auto"/>
        <w:right w:val="none" w:sz="0" w:space="0" w:color="auto"/>
      </w:divBdr>
    </w:div>
    <w:div w:id="182061126">
      <w:bodyDiv w:val="1"/>
      <w:marLeft w:val="0"/>
      <w:marRight w:val="0"/>
      <w:marTop w:val="0"/>
      <w:marBottom w:val="0"/>
      <w:divBdr>
        <w:top w:val="none" w:sz="0" w:space="0" w:color="auto"/>
        <w:left w:val="none" w:sz="0" w:space="0" w:color="auto"/>
        <w:bottom w:val="none" w:sz="0" w:space="0" w:color="auto"/>
        <w:right w:val="none" w:sz="0" w:space="0" w:color="auto"/>
      </w:divBdr>
    </w:div>
    <w:div w:id="613557502">
      <w:bodyDiv w:val="1"/>
      <w:marLeft w:val="0"/>
      <w:marRight w:val="0"/>
      <w:marTop w:val="0"/>
      <w:marBottom w:val="0"/>
      <w:divBdr>
        <w:top w:val="none" w:sz="0" w:space="0" w:color="auto"/>
        <w:left w:val="none" w:sz="0" w:space="0" w:color="auto"/>
        <w:bottom w:val="none" w:sz="0" w:space="0" w:color="auto"/>
        <w:right w:val="none" w:sz="0" w:space="0" w:color="auto"/>
      </w:divBdr>
    </w:div>
    <w:div w:id="812402977">
      <w:bodyDiv w:val="1"/>
      <w:marLeft w:val="0"/>
      <w:marRight w:val="0"/>
      <w:marTop w:val="0"/>
      <w:marBottom w:val="0"/>
      <w:divBdr>
        <w:top w:val="none" w:sz="0" w:space="0" w:color="auto"/>
        <w:left w:val="none" w:sz="0" w:space="0" w:color="auto"/>
        <w:bottom w:val="none" w:sz="0" w:space="0" w:color="auto"/>
        <w:right w:val="none" w:sz="0" w:space="0" w:color="auto"/>
      </w:divBdr>
    </w:div>
    <w:div w:id="982740050">
      <w:bodyDiv w:val="1"/>
      <w:marLeft w:val="0"/>
      <w:marRight w:val="0"/>
      <w:marTop w:val="0"/>
      <w:marBottom w:val="0"/>
      <w:divBdr>
        <w:top w:val="none" w:sz="0" w:space="0" w:color="auto"/>
        <w:left w:val="none" w:sz="0" w:space="0" w:color="auto"/>
        <w:bottom w:val="none" w:sz="0" w:space="0" w:color="auto"/>
        <w:right w:val="none" w:sz="0" w:space="0" w:color="auto"/>
      </w:divBdr>
    </w:div>
    <w:div w:id="1046833727">
      <w:bodyDiv w:val="1"/>
      <w:marLeft w:val="0"/>
      <w:marRight w:val="0"/>
      <w:marTop w:val="0"/>
      <w:marBottom w:val="0"/>
      <w:divBdr>
        <w:top w:val="none" w:sz="0" w:space="0" w:color="auto"/>
        <w:left w:val="none" w:sz="0" w:space="0" w:color="auto"/>
        <w:bottom w:val="none" w:sz="0" w:space="0" w:color="auto"/>
        <w:right w:val="none" w:sz="0" w:space="0" w:color="auto"/>
      </w:divBdr>
    </w:div>
    <w:div w:id="1138454015">
      <w:bodyDiv w:val="1"/>
      <w:marLeft w:val="0"/>
      <w:marRight w:val="0"/>
      <w:marTop w:val="0"/>
      <w:marBottom w:val="0"/>
      <w:divBdr>
        <w:top w:val="none" w:sz="0" w:space="0" w:color="auto"/>
        <w:left w:val="none" w:sz="0" w:space="0" w:color="auto"/>
        <w:bottom w:val="none" w:sz="0" w:space="0" w:color="auto"/>
        <w:right w:val="none" w:sz="0" w:space="0" w:color="auto"/>
      </w:divBdr>
    </w:div>
    <w:div w:id="1410078131">
      <w:bodyDiv w:val="1"/>
      <w:marLeft w:val="0"/>
      <w:marRight w:val="0"/>
      <w:marTop w:val="0"/>
      <w:marBottom w:val="0"/>
      <w:divBdr>
        <w:top w:val="none" w:sz="0" w:space="0" w:color="auto"/>
        <w:left w:val="none" w:sz="0" w:space="0" w:color="auto"/>
        <w:bottom w:val="none" w:sz="0" w:space="0" w:color="auto"/>
        <w:right w:val="none" w:sz="0" w:space="0" w:color="auto"/>
      </w:divBdr>
    </w:div>
    <w:div w:id="15821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8AD58CBE</Template>
  <TotalTime>92</TotalTime>
  <Pages>2</Pages>
  <Words>2033</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6</cp:revision>
  <dcterms:created xsi:type="dcterms:W3CDTF">2016-03-15T15:04:00Z</dcterms:created>
  <dcterms:modified xsi:type="dcterms:W3CDTF">2016-03-24T14:08:00Z</dcterms:modified>
</cp:coreProperties>
</file>